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6" w:rsidRPr="000D4AF6" w:rsidRDefault="000D4AF6" w:rsidP="0077399C">
      <w:pPr>
        <w:keepNext/>
        <w:keepLines/>
        <w:spacing w:after="240" w:line="36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</w:pPr>
      <w:bookmarkStart w:id="0" w:name="_Toc437245409"/>
      <w:r w:rsidRPr="000D4AF6"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  <w:t>Качество на обучението и атестация на преподавателския състав</w:t>
      </w:r>
      <w:bookmarkEnd w:id="0"/>
    </w:p>
    <w:p w:rsidR="000D4AF6" w:rsidRPr="000D4AF6" w:rsidRDefault="000D4AF6" w:rsidP="0077399C">
      <w:pPr>
        <w:spacing w:after="240" w:line="360" w:lineRule="auto"/>
        <w:ind w:firstLine="567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С цел проучване качеството на преподаване</w:t>
      </w:r>
      <w:r w:rsidR="006422A5">
        <w:rPr>
          <w:rFonts w:ascii="Arial Narrow" w:eastAsia="Calibri" w:hAnsi="Arial Narrow" w:cs="Times New Roman"/>
          <w:sz w:val="26"/>
          <w:szCs w:val="26"/>
          <w:lang w:val="bg-BG"/>
        </w:rPr>
        <w:t>,</w:t>
      </w:r>
      <w:bookmarkStart w:id="1" w:name="_GoBack"/>
      <w:bookmarkEnd w:id="1"/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през 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 xml:space="preserve">периода 2012 – 2015 година бяха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проведени две анкетни проучвания сред студентския състав 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–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през летния семестър 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 xml:space="preserve">на академичната 2013/2014 г. и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през зимния семестър на 2014/2015 г. В резултат на проучванията бяха формирани </w:t>
      </w:r>
      <w:r w:rsidRPr="000D4AF6">
        <w:rPr>
          <w:rFonts w:ascii="Arial Narrow" w:eastAsia="Calibri" w:hAnsi="Arial Narrow" w:cs="Times New Roman"/>
          <w:sz w:val="26"/>
          <w:szCs w:val="26"/>
        </w:rPr>
        <w:t>30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комплексни оценки за </w:t>
      </w:r>
      <w:r w:rsidRPr="000D4AF6">
        <w:rPr>
          <w:rFonts w:ascii="Arial Narrow" w:eastAsia="Calibri" w:hAnsi="Arial Narrow" w:cs="Times New Roman"/>
          <w:sz w:val="26"/>
          <w:szCs w:val="26"/>
        </w:rPr>
        <w:t>30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хабилитирани преподаватели през летния семестър на 2013/2014г. и </w:t>
      </w:r>
      <w:r w:rsidRPr="000D4AF6">
        <w:rPr>
          <w:rFonts w:ascii="Arial Narrow" w:eastAsia="Calibri" w:hAnsi="Arial Narrow" w:cs="Times New Roman"/>
          <w:sz w:val="26"/>
          <w:szCs w:val="26"/>
          <w:lang w:val="ru-RU"/>
        </w:rPr>
        <w:t>40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комплексни оценки за </w:t>
      </w:r>
      <w:r w:rsidRPr="000D4AF6">
        <w:rPr>
          <w:rFonts w:ascii="Arial Narrow" w:eastAsia="Calibri" w:hAnsi="Arial Narrow" w:cs="Times New Roman"/>
          <w:sz w:val="26"/>
          <w:szCs w:val="26"/>
          <w:lang w:val="ru-RU"/>
        </w:rPr>
        <w:t>3</w:t>
      </w:r>
      <w:r w:rsidRPr="000D4AF6">
        <w:rPr>
          <w:rFonts w:ascii="Arial Narrow" w:eastAsia="Calibri" w:hAnsi="Arial Narrow" w:cs="Times New Roman"/>
          <w:sz w:val="26"/>
          <w:szCs w:val="26"/>
        </w:rPr>
        <w:t>1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преподаватели (част от преподавателите са получили комплексни оценки по повече от една дисциплина) през зимния семестър на 2014/2015 г. Потвърждава се тенденцията от предходни проучвания най-високо да е оценявана компетентността на преподавателите, а по-ниско – техните педагогическите качества.</w:t>
      </w:r>
    </w:p>
    <w:p w:rsidR="000D4AF6" w:rsidRPr="000D4AF6" w:rsidRDefault="000D4AF6" w:rsidP="0077399C">
      <w:pPr>
        <w:spacing w:line="360" w:lineRule="auto"/>
        <w:jc w:val="center"/>
        <w:rPr>
          <w:rFonts w:ascii="Arial Narrow" w:eastAsia="Calibri" w:hAnsi="Arial Narrow" w:cs="Times New Roman"/>
          <w:lang w:val="bg-BG"/>
        </w:rPr>
      </w:pPr>
      <w:r w:rsidRPr="000D4AF6">
        <w:rPr>
          <w:rFonts w:ascii="Arial Narrow" w:eastAsia="Calibri" w:hAnsi="Arial Narrow" w:cs="Times New Roman"/>
          <w:b/>
          <w:lang w:val="bg-BG"/>
        </w:rPr>
        <w:t>Компетентност и педагогически качества на преподавателите от ВМФ.</w:t>
      </w:r>
    </w:p>
    <w:p w:rsidR="000D4AF6" w:rsidRPr="000D4AF6" w:rsidRDefault="000D4AF6" w:rsidP="00EC5DCE">
      <w:pPr>
        <w:spacing w:line="360" w:lineRule="auto"/>
        <w:jc w:val="center"/>
        <w:rPr>
          <w:rFonts w:ascii="Arial Narrow" w:eastAsia="Calibri" w:hAnsi="Arial Narrow" w:cs="Times New Roman"/>
          <w:sz w:val="26"/>
          <w:szCs w:val="26"/>
          <w:lang w:val="bg-BG"/>
        </w:rPr>
      </w:pPr>
      <w:r>
        <w:rPr>
          <w:rFonts w:ascii="Arial Narrow" w:eastAsia="Calibri" w:hAnsi="Arial Narrow" w:cs="Times New Roman"/>
          <w:noProof/>
          <w:sz w:val="26"/>
          <w:szCs w:val="26"/>
        </w:rPr>
        <w:drawing>
          <wp:inline distT="0" distB="0" distL="0" distR="0">
            <wp:extent cx="5753100" cy="3543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F6" w:rsidRDefault="000D4AF6" w:rsidP="000D4AF6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</w:p>
    <w:p w:rsidR="000D4AF6" w:rsidRDefault="000D4AF6" w:rsidP="000D4AF6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</w:p>
    <w:p w:rsidR="000D4AF6" w:rsidRPr="000D4AF6" w:rsidRDefault="000D4AF6" w:rsidP="000D4AF6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lastRenderedPageBreak/>
        <w:t xml:space="preserve">По отношение </w:t>
      </w:r>
      <w:r w:rsidRPr="000D4AF6">
        <w:rPr>
          <w:rFonts w:ascii="Arial Narrow" w:eastAsia="Calibri" w:hAnsi="Arial Narrow" w:cs="Times New Roman"/>
          <w:b/>
          <w:sz w:val="26"/>
          <w:szCs w:val="26"/>
          <w:lang w:val="bg-BG"/>
        </w:rPr>
        <w:t>редовността (регулярността) на провеждане на занятията,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резултатите показват, че според студентите 87.65</w:t>
      </w:r>
      <w:r w:rsidRPr="000D4AF6">
        <w:rPr>
          <w:rFonts w:ascii="Arial Narrow" w:eastAsia="Calibri" w:hAnsi="Arial Narrow" w:cs="Times New Roman"/>
          <w:sz w:val="26"/>
          <w:szCs w:val="26"/>
          <w:lang w:val="ru-RU"/>
        </w:rPr>
        <w:t xml:space="preserve">%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от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 xml:space="preserve">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всички учебни занятия  във факултета се провеждат съобразно учебното разписание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.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</w:t>
      </w:r>
    </w:p>
    <w:p w:rsidR="000D4AF6" w:rsidRPr="000D4AF6" w:rsidRDefault="000D4AF6" w:rsidP="00EC5DCE">
      <w:pPr>
        <w:jc w:val="center"/>
        <w:rPr>
          <w:rFonts w:ascii="Arial Narrow" w:eastAsia="Calibri" w:hAnsi="Arial Narrow" w:cs="Times New Roman"/>
          <w:lang w:val="ru-RU" w:eastAsia="bg-BG"/>
        </w:rPr>
      </w:pPr>
      <w:r w:rsidRPr="000D4AF6">
        <w:rPr>
          <w:rFonts w:ascii="Arial Narrow" w:eastAsia="Calibri" w:hAnsi="Arial Narrow" w:cs="Times New Roman"/>
          <w:b/>
          <w:lang w:val="bg-BG"/>
        </w:rPr>
        <w:t>Редовност на провеждане на учебните занятия от страна на преподавателите.</w:t>
      </w:r>
    </w:p>
    <w:tbl>
      <w:tblPr>
        <w:tblW w:w="9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4860"/>
      </w:tblGrid>
      <w:tr w:rsidR="000D4AF6" w:rsidRPr="000D4AF6" w:rsidTr="00EC5DCE">
        <w:trPr>
          <w:trHeight w:val="57"/>
          <w:jc w:val="center"/>
        </w:trPr>
        <w:tc>
          <w:tcPr>
            <w:tcW w:w="47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54" w:lineRule="auto"/>
              <w:jc w:val="center"/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  <w:t>Преподавателите провеждат редовно: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54" w:lineRule="auto"/>
              <w:jc w:val="center"/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bg-BG"/>
              </w:rPr>
              <w:t>Проведени учебни занятия</w:t>
            </w: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</w:rPr>
              <w:t xml:space="preserve">, </w:t>
            </w: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bg-BG" w:eastAsia="bg-BG"/>
              </w:rPr>
              <w:t>%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1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54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Всички занятия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54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87.65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1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54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Повече от половината занятия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54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9.57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1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54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По-малко от половината занятия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54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2.16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12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54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Не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54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0.00</w:t>
            </w:r>
          </w:p>
        </w:tc>
      </w:tr>
    </w:tbl>
    <w:p w:rsidR="000D4AF6" w:rsidRPr="000D4AF6" w:rsidRDefault="000D4AF6" w:rsidP="000D4AF6">
      <w:pPr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ru-RU"/>
        </w:rPr>
        <w:t xml:space="preserve">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* </w:t>
      </w:r>
      <w:r w:rsidRPr="000D4AF6">
        <w:rPr>
          <w:rFonts w:ascii="Arial Narrow" w:eastAsia="Calibri" w:hAnsi="Arial Narrow" w:cs="Times New Roman"/>
          <w:lang w:val="bg-BG"/>
        </w:rPr>
        <w:t>Сборът по колони може да е различен от 100, тъй като съществува процент студенти неотговорили на част от въпросите.</w:t>
      </w:r>
    </w:p>
    <w:p w:rsidR="000D4AF6" w:rsidRPr="000D4AF6" w:rsidRDefault="000D4AF6" w:rsidP="000D4AF6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Като дескриптор на </w:t>
      </w:r>
      <w:r w:rsidRPr="000D4AF6">
        <w:rPr>
          <w:rFonts w:ascii="Arial Narrow" w:eastAsia="Calibri" w:hAnsi="Arial Narrow" w:cs="Times New Roman"/>
          <w:i/>
          <w:sz w:val="26"/>
          <w:szCs w:val="26"/>
          <w:lang w:val="bg-BG"/>
        </w:rPr>
        <w:t>динамиката на интереса към изучаваните дисциплини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беше използван въпросът „В каква посока се промени интереса Ви към изучаваната дисциплина в резултат на лекциите/упражненията?“ Данните очертават следната ситуация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:</w:t>
      </w:r>
    </w:p>
    <w:p w:rsidR="000D4AF6" w:rsidRPr="000D4AF6" w:rsidRDefault="000D4AF6" w:rsidP="00EC5DCE">
      <w:pPr>
        <w:spacing w:line="360" w:lineRule="auto"/>
        <w:jc w:val="center"/>
        <w:rPr>
          <w:rFonts w:ascii="Arial Narrow" w:eastAsia="Calibri" w:hAnsi="Arial Narrow" w:cs="Times New Roman"/>
          <w:lang w:val="bg-BG"/>
        </w:rPr>
      </w:pPr>
      <w:r w:rsidRPr="000D4AF6">
        <w:rPr>
          <w:rFonts w:ascii="Arial Narrow" w:eastAsia="Calibri" w:hAnsi="Arial Narrow" w:cs="Times New Roman"/>
          <w:b/>
          <w:lang w:val="bg-BG"/>
        </w:rPr>
        <w:t>Динамика на интереса към изучаваните дисциплини</w:t>
      </w:r>
    </w:p>
    <w:tbl>
      <w:tblPr>
        <w:tblW w:w="9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  <w:t>Посока на промяна на интереса: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ru-RU" w:eastAsia="bg-BG"/>
              </w:rPr>
            </w:pP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bg-BG"/>
              </w:rPr>
              <w:t>Динамика на интереса</w:t>
            </w: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</w:rPr>
              <w:t xml:space="preserve">, </w:t>
            </w: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bg-BG" w:eastAsia="bg-BG"/>
              </w:rPr>
              <w:t>%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Повиши се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41,31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Запази се същия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50,38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Понижи се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7,81</w:t>
            </w:r>
          </w:p>
        </w:tc>
      </w:tr>
    </w:tbl>
    <w:p w:rsidR="000D4AF6" w:rsidRPr="000D4AF6" w:rsidRDefault="000D4AF6" w:rsidP="000D4AF6">
      <w:pPr>
        <w:spacing w:line="240" w:lineRule="auto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</w:p>
    <w:p w:rsidR="000D4AF6" w:rsidRPr="000D4AF6" w:rsidRDefault="000D4AF6" w:rsidP="000D4AF6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Според резултатите от анкетите проблем се наблюдава предимно с </w:t>
      </w:r>
      <w:r w:rsidRPr="000D4AF6">
        <w:rPr>
          <w:rFonts w:ascii="Arial Narrow" w:eastAsia="Calibri" w:hAnsi="Arial Narrow" w:cs="Times New Roman"/>
          <w:i/>
          <w:sz w:val="26"/>
          <w:szCs w:val="26"/>
          <w:lang w:val="bg-BG"/>
        </w:rPr>
        <w:t>посещаемостта на студентите</w:t>
      </w:r>
      <w:r w:rsidRPr="000D4AF6">
        <w:rPr>
          <w:rFonts w:ascii="Arial Narrow" w:eastAsia="Calibri" w:hAnsi="Arial Narrow" w:cs="Times New Roman"/>
          <w:b/>
          <w:sz w:val="26"/>
          <w:szCs w:val="26"/>
          <w:lang w:val="bg-BG"/>
        </w:rPr>
        <w:t xml:space="preserve">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на</w:t>
      </w:r>
      <w:r w:rsidRPr="000D4AF6">
        <w:rPr>
          <w:rFonts w:ascii="Arial Narrow" w:eastAsia="Calibri" w:hAnsi="Arial Narrow" w:cs="Times New Roman"/>
          <w:b/>
          <w:sz w:val="26"/>
          <w:szCs w:val="26"/>
          <w:lang w:val="bg-BG"/>
        </w:rPr>
        <w:t xml:space="preserve"> 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лекциите. Обобщените резултати за посещаемостта на учебните занятия са представени в следващата таблица. От нея се вижда, че според анкетираните студенти от ВМФ бли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зо половината от тях  посещават редовно лекционните курсове по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изучава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ните дисциплини и малко над 40%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са слушали  повече от половината лекции. Само около  6% са посещавали по-м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алко от половината от лекциите, а един незначителен процент от нашите студенти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декларират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,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че никога не влизат в лекционните зали.</w:t>
      </w:r>
    </w:p>
    <w:p w:rsidR="000D4AF6" w:rsidRPr="000D4AF6" w:rsidRDefault="000D4AF6" w:rsidP="00EC5DCE">
      <w:pPr>
        <w:spacing w:line="240" w:lineRule="auto"/>
        <w:jc w:val="center"/>
        <w:rPr>
          <w:rFonts w:ascii="Arial Narrow" w:eastAsia="Calibri" w:hAnsi="Arial Narrow" w:cs="Times New Roman"/>
          <w:lang w:val="bg-BG"/>
        </w:rPr>
      </w:pPr>
      <w:r w:rsidRPr="000D4AF6">
        <w:rPr>
          <w:rFonts w:ascii="Arial Narrow" w:eastAsia="Calibri" w:hAnsi="Arial Narrow" w:cs="Times New Roman"/>
          <w:b/>
          <w:lang w:val="bg-BG"/>
        </w:rPr>
        <w:lastRenderedPageBreak/>
        <w:t>Посещаемост на лекционните курсове</w:t>
      </w:r>
      <w:r w:rsidRPr="000D4AF6">
        <w:rPr>
          <w:rFonts w:ascii="Arial Narrow" w:eastAsia="Calibri" w:hAnsi="Arial Narrow" w:cs="Times New Roman"/>
          <w:lang w:val="bg-BG"/>
        </w:rPr>
        <w:t>.</w:t>
      </w:r>
    </w:p>
    <w:tbl>
      <w:tblPr>
        <w:tblW w:w="9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  <w:t>Студентите посещават занятията: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bg-BG"/>
              </w:rPr>
              <w:t>Посещаемост на студентите на лекции</w:t>
            </w: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ru-RU"/>
              </w:rPr>
              <w:t xml:space="preserve">, </w:t>
            </w:r>
            <w:r w:rsidRPr="000D4AF6">
              <w:rPr>
                <w:rFonts w:ascii="Arial Narrow" w:eastAsia="Calibri" w:hAnsi="Arial Narrow" w:cs="Times New Roman"/>
                <w:b/>
                <w:sz w:val="26"/>
                <w:szCs w:val="26"/>
                <w:lang w:val="bg-BG" w:eastAsia="bg-BG"/>
              </w:rPr>
              <w:t>%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Всички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48,59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Повече от половината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43,26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По-малко от половината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5,96</w:t>
            </w:r>
          </w:p>
        </w:tc>
      </w:tr>
      <w:tr w:rsidR="000D4AF6" w:rsidRPr="000D4AF6" w:rsidTr="00EC5DCE">
        <w:trPr>
          <w:trHeight w:val="57"/>
          <w:jc w:val="center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D4AF6" w:rsidRPr="000D4AF6" w:rsidRDefault="000D4AF6" w:rsidP="000D4AF6">
            <w:pPr>
              <w:snapToGrid w:val="0"/>
              <w:spacing w:after="160" w:line="240" w:lineRule="auto"/>
              <w:jc w:val="center"/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</w:pPr>
            <w:r w:rsidRPr="000D4AF6">
              <w:rPr>
                <w:rFonts w:ascii="Arial Narrow" w:eastAsia="Calibri" w:hAnsi="Arial Narrow" w:cs="Times New Roman"/>
                <w:bCs/>
                <w:iCs/>
                <w:sz w:val="26"/>
                <w:szCs w:val="26"/>
                <w:lang w:val="bg-BG" w:eastAsia="bg-BG"/>
              </w:rPr>
              <w:t>Не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4AF6" w:rsidRPr="000D4AF6" w:rsidRDefault="000D4AF6" w:rsidP="000D4AF6">
            <w:pPr>
              <w:spacing w:after="160" w:line="24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0D4AF6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1,25</w:t>
            </w:r>
          </w:p>
        </w:tc>
      </w:tr>
    </w:tbl>
    <w:p w:rsidR="000D4AF6" w:rsidRPr="000D4AF6" w:rsidRDefault="000D4AF6" w:rsidP="000D4AF6">
      <w:pPr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* </w:t>
      </w:r>
      <w:r w:rsidRPr="000D4AF6">
        <w:rPr>
          <w:rFonts w:ascii="Arial Narrow" w:eastAsia="Calibri" w:hAnsi="Arial Narrow" w:cs="Times New Roman"/>
          <w:lang w:val="bg-BG"/>
        </w:rPr>
        <w:t>Сборът по колони може да е различен от 100, тъй като съществува процент студенти неотговорили на част от въпросите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.</w:t>
      </w:r>
    </w:p>
    <w:p w:rsidR="000D4AF6" w:rsidRPr="000D4AF6" w:rsidRDefault="000D4AF6" w:rsidP="000D4AF6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>Значим ком</w:t>
      </w:r>
      <w:r w:rsidR="00EC5DCE">
        <w:rPr>
          <w:rFonts w:ascii="Arial Narrow" w:eastAsia="Calibri" w:hAnsi="Arial Narrow" w:cs="Times New Roman"/>
          <w:sz w:val="26"/>
          <w:szCs w:val="26"/>
          <w:lang w:val="bg-BG"/>
        </w:rPr>
        <w:t>понент за качеството на образователния процес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на изхода на системата е възможността за </w:t>
      </w:r>
      <w:r w:rsidRPr="000D4AF6">
        <w:rPr>
          <w:rFonts w:ascii="Arial Narrow" w:eastAsia="Calibri" w:hAnsi="Arial Narrow" w:cs="Times New Roman"/>
          <w:i/>
          <w:sz w:val="26"/>
          <w:szCs w:val="26"/>
          <w:lang w:val="bg-BG"/>
        </w:rPr>
        <w:t>обратна връзка</w:t>
      </w:r>
      <w:r w:rsidRPr="000D4AF6">
        <w:rPr>
          <w:rFonts w:ascii="Arial Narrow" w:eastAsia="Calibri" w:hAnsi="Arial Narrow" w:cs="Times New Roman"/>
          <w:sz w:val="26"/>
          <w:szCs w:val="26"/>
          <w:lang w:val="bg-BG"/>
        </w:rPr>
        <w:t xml:space="preserve"> от преподавателите, от факултетното ръководство, както за яснотата и прецизността на системата, така и за предприетите мерки за управление на качеството на обучение.</w:t>
      </w:r>
    </w:p>
    <w:p w:rsidR="00D61460" w:rsidRDefault="00D61460"/>
    <w:sectPr w:rsidR="00D6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6"/>
    <w:rsid w:val="000D4AF6"/>
    <w:rsid w:val="006422A5"/>
    <w:rsid w:val="0077399C"/>
    <w:rsid w:val="00D61460"/>
    <w:rsid w:val="00E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2017-11-07T10:22:00Z</dcterms:created>
  <dcterms:modified xsi:type="dcterms:W3CDTF">2017-11-07T10:33:00Z</dcterms:modified>
</cp:coreProperties>
</file>